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0D" w:rsidRDefault="00DE432B" w:rsidP="008F060D">
      <w:pPr>
        <w:spacing w:after="0" w:line="240" w:lineRule="auto"/>
        <w:rPr>
          <w:rFonts w:cs="Arial"/>
          <w:b/>
          <w:color w:val="5C8DC6"/>
          <w:sz w:val="28"/>
          <w:szCs w:val="20"/>
        </w:rPr>
      </w:pPr>
      <w:r w:rsidRPr="007C5CDB">
        <w:rPr>
          <w:rFonts w:asciiTheme="majorHAnsi" w:hAnsiTheme="majorHAnsi"/>
          <w:b/>
          <w:noProof/>
          <w:sz w:val="28"/>
          <w:szCs w:val="28"/>
          <w:lang w:eastAsia="en-GB"/>
        </w:rPr>
        <w:drawing>
          <wp:anchor distT="0" distB="0" distL="114300" distR="114300" simplePos="0" relativeHeight="251659264" behindDoc="0" locked="0" layoutInCell="1" allowOverlap="1" wp14:anchorId="6F69A78C" wp14:editId="434DA71C">
            <wp:simplePos x="0" y="0"/>
            <wp:positionH relativeFrom="page">
              <wp:posOffset>600075</wp:posOffset>
            </wp:positionH>
            <wp:positionV relativeFrom="page">
              <wp:posOffset>47625</wp:posOffset>
            </wp:positionV>
            <wp:extent cx="2286000"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pic:spPr>
                </pic:pic>
              </a:graphicData>
            </a:graphic>
            <wp14:sizeRelH relativeFrom="margin">
              <wp14:pctWidth>0</wp14:pctWidth>
            </wp14:sizeRelH>
            <wp14:sizeRelV relativeFrom="margin">
              <wp14:pctHeight>0</wp14:pctHeight>
            </wp14:sizeRelV>
          </wp:anchor>
        </w:drawing>
      </w:r>
    </w:p>
    <w:p w:rsidR="008F060D" w:rsidRDefault="008F060D" w:rsidP="008F060D">
      <w:pPr>
        <w:spacing w:after="0" w:line="240" w:lineRule="auto"/>
        <w:jc w:val="center"/>
        <w:rPr>
          <w:rFonts w:cs="Arial"/>
          <w:b/>
          <w:color w:val="5C8DC6"/>
          <w:sz w:val="28"/>
          <w:szCs w:val="20"/>
        </w:rPr>
      </w:pPr>
    </w:p>
    <w:p w:rsidR="008F060D" w:rsidRPr="008F060D" w:rsidRDefault="008F060D" w:rsidP="008F060D">
      <w:pPr>
        <w:spacing w:after="0" w:line="240" w:lineRule="auto"/>
        <w:jc w:val="center"/>
        <w:rPr>
          <w:b/>
          <w:sz w:val="28"/>
        </w:rPr>
      </w:pPr>
      <w:r w:rsidRPr="008F060D">
        <w:rPr>
          <w:b/>
          <w:sz w:val="28"/>
        </w:rPr>
        <w:t>JOB DESCRIPTION</w:t>
      </w:r>
    </w:p>
    <w:p w:rsidR="008F060D" w:rsidRDefault="008F060D" w:rsidP="008F060D">
      <w:pPr>
        <w:tabs>
          <w:tab w:val="left" w:pos="8280"/>
        </w:tabs>
        <w:spacing w:after="0" w:line="240" w:lineRule="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17"/>
        <w:gridCol w:w="2802"/>
        <w:gridCol w:w="851"/>
        <w:gridCol w:w="2358"/>
      </w:tblGrid>
      <w:tr w:rsidR="008F060D" w:rsidRPr="00C308DC" w:rsidTr="00395150">
        <w:trPr>
          <w:trHeight w:val="454"/>
        </w:trPr>
        <w:tc>
          <w:tcPr>
            <w:tcW w:w="2801" w:type="dxa"/>
            <w:shd w:val="clear" w:color="auto" w:fill="5C8DC6"/>
            <w:vAlign w:val="center"/>
          </w:tcPr>
          <w:p w:rsidR="008F060D" w:rsidRPr="009E13AE" w:rsidRDefault="00431EA1" w:rsidP="008F060D">
            <w:pPr>
              <w:tabs>
                <w:tab w:val="left" w:pos="8280"/>
              </w:tabs>
              <w:spacing w:after="0" w:line="240" w:lineRule="auto"/>
              <w:rPr>
                <w:rFonts w:cs="Arial"/>
                <w:b/>
                <w:color w:val="FFFFFF" w:themeColor="background1"/>
              </w:rPr>
            </w:pPr>
            <w:r>
              <w:rPr>
                <w:rFonts w:cs="Arial"/>
                <w:b/>
                <w:color w:val="FFFFFF" w:themeColor="background1"/>
              </w:rPr>
              <w:t>Role</w:t>
            </w:r>
          </w:p>
        </w:tc>
        <w:tc>
          <w:tcPr>
            <w:tcW w:w="6328" w:type="dxa"/>
            <w:gridSpan w:val="4"/>
            <w:shd w:val="clear" w:color="auto" w:fill="auto"/>
            <w:vAlign w:val="center"/>
          </w:tcPr>
          <w:p w:rsidR="008F060D" w:rsidRPr="00AD46B6" w:rsidRDefault="00431EA1" w:rsidP="008F060D">
            <w:pPr>
              <w:tabs>
                <w:tab w:val="left" w:pos="8280"/>
              </w:tabs>
              <w:spacing w:after="0" w:line="240" w:lineRule="auto"/>
              <w:rPr>
                <w:rFonts w:cs="Arial"/>
                <w:color w:val="auto"/>
              </w:rPr>
            </w:pPr>
            <w:r>
              <w:rPr>
                <w:rFonts w:cs="Arial"/>
                <w:color w:val="auto"/>
              </w:rPr>
              <w:t>Non-Executive Director</w:t>
            </w:r>
          </w:p>
        </w:tc>
      </w:tr>
      <w:tr w:rsidR="008F060D" w:rsidRPr="00C308DC" w:rsidTr="00395150">
        <w:trPr>
          <w:trHeight w:val="454"/>
        </w:trPr>
        <w:tc>
          <w:tcPr>
            <w:tcW w:w="2801" w:type="dxa"/>
            <w:shd w:val="clear" w:color="auto" w:fill="5C8DC6"/>
            <w:vAlign w:val="center"/>
          </w:tcPr>
          <w:p w:rsidR="008F060D" w:rsidRPr="009E13AE" w:rsidRDefault="008F060D" w:rsidP="008F060D">
            <w:pPr>
              <w:tabs>
                <w:tab w:val="left" w:pos="8280"/>
              </w:tabs>
              <w:spacing w:after="0" w:line="240" w:lineRule="auto"/>
              <w:rPr>
                <w:rFonts w:cs="Arial"/>
                <w:b/>
                <w:color w:val="FFFFFF" w:themeColor="background1"/>
              </w:rPr>
            </w:pPr>
            <w:r w:rsidRPr="009E13AE">
              <w:rPr>
                <w:rFonts w:cs="Arial"/>
                <w:b/>
                <w:color w:val="FFFFFF" w:themeColor="background1"/>
              </w:rPr>
              <w:t>Responsible to</w:t>
            </w:r>
          </w:p>
        </w:tc>
        <w:tc>
          <w:tcPr>
            <w:tcW w:w="6328" w:type="dxa"/>
            <w:gridSpan w:val="4"/>
            <w:shd w:val="clear" w:color="auto" w:fill="auto"/>
            <w:vAlign w:val="center"/>
          </w:tcPr>
          <w:p w:rsidR="008F060D" w:rsidRPr="00AD46B6" w:rsidRDefault="00395150" w:rsidP="00C118B2">
            <w:pPr>
              <w:tabs>
                <w:tab w:val="left" w:pos="8280"/>
              </w:tabs>
              <w:spacing w:after="0" w:line="240" w:lineRule="auto"/>
              <w:rPr>
                <w:rFonts w:cs="Arial"/>
                <w:color w:val="auto"/>
              </w:rPr>
            </w:pPr>
            <w:r>
              <w:rPr>
                <w:rFonts w:cs="Arial"/>
                <w:color w:val="auto"/>
              </w:rPr>
              <w:t>Company Chair</w:t>
            </w:r>
            <w:r w:rsidR="00C118B2">
              <w:rPr>
                <w:rFonts w:cs="Arial"/>
                <w:color w:val="auto"/>
              </w:rPr>
              <w:t>man</w:t>
            </w:r>
          </w:p>
        </w:tc>
      </w:tr>
      <w:tr w:rsidR="00F2101B" w:rsidRPr="00C308DC" w:rsidTr="00395150">
        <w:trPr>
          <w:trHeight w:val="454"/>
        </w:trPr>
        <w:tc>
          <w:tcPr>
            <w:tcW w:w="2801" w:type="dxa"/>
            <w:shd w:val="clear" w:color="auto" w:fill="5C8DC6"/>
            <w:vAlign w:val="center"/>
          </w:tcPr>
          <w:p w:rsidR="00F2101B" w:rsidRPr="009E13AE" w:rsidRDefault="00395150" w:rsidP="008F060D">
            <w:pPr>
              <w:tabs>
                <w:tab w:val="left" w:pos="8280"/>
              </w:tabs>
              <w:spacing w:after="0" w:line="240" w:lineRule="auto"/>
              <w:rPr>
                <w:rFonts w:cs="Arial"/>
                <w:b/>
                <w:color w:val="FFFFFF" w:themeColor="background1"/>
              </w:rPr>
            </w:pPr>
            <w:r>
              <w:rPr>
                <w:rFonts w:cs="Arial"/>
                <w:b/>
                <w:color w:val="FFFFFF" w:themeColor="background1"/>
              </w:rPr>
              <w:t>Key Relationships</w:t>
            </w:r>
          </w:p>
        </w:tc>
        <w:tc>
          <w:tcPr>
            <w:tcW w:w="6328" w:type="dxa"/>
            <w:gridSpan w:val="4"/>
            <w:shd w:val="clear" w:color="auto" w:fill="auto"/>
            <w:vAlign w:val="center"/>
          </w:tcPr>
          <w:p w:rsidR="00395150" w:rsidRPr="00395150" w:rsidRDefault="00395150" w:rsidP="00395150">
            <w:pPr>
              <w:spacing w:after="0" w:line="240" w:lineRule="auto"/>
              <w:ind w:left="2880" w:hanging="2880"/>
              <w:rPr>
                <w:rFonts w:cs="Arial"/>
                <w:color w:val="auto"/>
              </w:rPr>
            </w:pPr>
          </w:p>
          <w:p w:rsidR="00395150" w:rsidRPr="00395150" w:rsidRDefault="00395150" w:rsidP="00395150">
            <w:pPr>
              <w:spacing w:after="0" w:line="240" w:lineRule="auto"/>
              <w:ind w:left="2880" w:hanging="2880"/>
              <w:rPr>
                <w:rFonts w:cs="Arial"/>
                <w:color w:val="auto"/>
              </w:rPr>
            </w:pPr>
            <w:r w:rsidRPr="00395150">
              <w:rPr>
                <w:rFonts w:cs="Arial"/>
                <w:color w:val="auto"/>
              </w:rPr>
              <w:t>Non-Executive Directors, Executive Directors, SMBC</w:t>
            </w:r>
          </w:p>
          <w:p w:rsidR="00395150" w:rsidRPr="00395150" w:rsidRDefault="00395150" w:rsidP="00395150">
            <w:pPr>
              <w:spacing w:after="0" w:line="240" w:lineRule="auto"/>
              <w:ind w:left="2880" w:hanging="2880"/>
              <w:rPr>
                <w:rFonts w:cs="Arial"/>
                <w:color w:val="auto"/>
              </w:rPr>
            </w:pPr>
            <w:r w:rsidRPr="00395150">
              <w:rPr>
                <w:rFonts w:cs="Arial"/>
                <w:color w:val="auto"/>
              </w:rPr>
              <w:t>Contributors</w:t>
            </w:r>
            <w:r w:rsidR="00431EA1">
              <w:rPr>
                <w:rFonts w:cs="Arial"/>
                <w:color w:val="auto"/>
              </w:rPr>
              <w:t>’</w:t>
            </w:r>
            <w:r w:rsidRPr="00395150">
              <w:rPr>
                <w:rFonts w:cs="Arial"/>
                <w:color w:val="auto"/>
              </w:rPr>
              <w:t xml:space="preserve"> Committee</w:t>
            </w:r>
          </w:p>
          <w:p w:rsidR="00F2101B" w:rsidRPr="00395150" w:rsidRDefault="00F2101B" w:rsidP="00395150">
            <w:pPr>
              <w:tabs>
                <w:tab w:val="left" w:pos="8280"/>
              </w:tabs>
              <w:spacing w:after="0" w:line="240" w:lineRule="auto"/>
              <w:rPr>
                <w:rFonts w:cs="Arial"/>
                <w:color w:val="auto"/>
              </w:rPr>
            </w:pPr>
          </w:p>
        </w:tc>
      </w:tr>
      <w:tr w:rsidR="00B31408" w:rsidRPr="00B31408" w:rsidTr="00395150">
        <w:trPr>
          <w:trHeight w:val="358"/>
        </w:trPr>
        <w:tc>
          <w:tcPr>
            <w:tcW w:w="9129" w:type="dxa"/>
            <w:gridSpan w:val="5"/>
            <w:shd w:val="clear" w:color="auto" w:fill="5C8DC6"/>
            <w:vAlign w:val="center"/>
          </w:tcPr>
          <w:p w:rsidR="00AF4041" w:rsidRPr="00B31408" w:rsidRDefault="00AF4041" w:rsidP="00AF4041">
            <w:pPr>
              <w:tabs>
                <w:tab w:val="left" w:pos="8280"/>
              </w:tabs>
              <w:spacing w:after="0" w:line="240" w:lineRule="auto"/>
              <w:rPr>
                <w:rFonts w:cs="Arial"/>
                <w:b/>
                <w:color w:val="FFFFFF" w:themeColor="background1"/>
                <w:sz w:val="20"/>
              </w:rPr>
            </w:pPr>
          </w:p>
          <w:p w:rsidR="00AF4041" w:rsidRPr="00B31408" w:rsidRDefault="00CF68D5" w:rsidP="00276985">
            <w:pPr>
              <w:jc w:val="both"/>
              <w:rPr>
                <w:rFonts w:cs="Arial"/>
                <w:color w:val="FFFFFF" w:themeColor="background1"/>
                <w:sz w:val="20"/>
              </w:rPr>
            </w:pPr>
            <w:r w:rsidRPr="00B31408">
              <w:rPr>
                <w:rFonts w:cs="Arial"/>
                <w:b/>
                <w:color w:val="FFFFFF" w:themeColor="background1"/>
              </w:rPr>
              <w:t xml:space="preserve">Main purpose of Job: </w:t>
            </w:r>
          </w:p>
        </w:tc>
      </w:tr>
      <w:tr w:rsidR="00AF4041" w:rsidRPr="00C308DC" w:rsidTr="00DE432B">
        <w:trPr>
          <w:trHeight w:val="241"/>
        </w:trPr>
        <w:tc>
          <w:tcPr>
            <w:tcW w:w="9129" w:type="dxa"/>
            <w:gridSpan w:val="5"/>
            <w:shd w:val="clear" w:color="auto" w:fill="auto"/>
            <w:vAlign w:val="center"/>
          </w:tcPr>
          <w:p w:rsidR="00C118B2" w:rsidRDefault="00C118B2" w:rsidP="00C118B2">
            <w:pPr>
              <w:pStyle w:val="ListParagraph"/>
              <w:numPr>
                <w:ilvl w:val="0"/>
                <w:numId w:val="0"/>
              </w:numPr>
              <w:spacing w:after="0" w:line="240" w:lineRule="auto"/>
              <w:ind w:left="360"/>
              <w:jc w:val="both"/>
              <w:rPr>
                <w:rFonts w:cs="Arial"/>
                <w:color w:val="auto"/>
              </w:rPr>
            </w:pPr>
          </w:p>
          <w:p w:rsidR="00395150" w:rsidRPr="00395150" w:rsidRDefault="00395150" w:rsidP="00DE432B">
            <w:pPr>
              <w:pStyle w:val="ListParagraph"/>
              <w:numPr>
                <w:ilvl w:val="0"/>
                <w:numId w:val="9"/>
              </w:numPr>
              <w:spacing w:after="0" w:line="240" w:lineRule="auto"/>
              <w:ind w:left="360"/>
              <w:jc w:val="both"/>
              <w:rPr>
                <w:rFonts w:cs="Arial"/>
                <w:color w:val="auto"/>
              </w:rPr>
            </w:pPr>
            <w:r w:rsidRPr="00395150">
              <w:rPr>
                <w:rFonts w:cs="Arial"/>
                <w:color w:val="auto"/>
              </w:rPr>
              <w:t>The Non-Executive Directors are responsible for constructively challenging and contributing to the development of strategy for Totally Local and its subsidiary company.  This includes the appraisal of profitable opportunities beyond SMBC for reinvestment into local services supporting the businesses and citizens of Stockport.</w:t>
            </w:r>
          </w:p>
          <w:p w:rsidR="00395150" w:rsidRPr="00395150" w:rsidRDefault="00395150" w:rsidP="00DE432B">
            <w:pPr>
              <w:spacing w:after="0"/>
              <w:jc w:val="both"/>
              <w:rPr>
                <w:rFonts w:cs="Arial"/>
                <w:color w:val="auto"/>
              </w:rPr>
            </w:pPr>
          </w:p>
          <w:p w:rsidR="00395150" w:rsidRPr="00395150" w:rsidRDefault="00395150" w:rsidP="00DE432B">
            <w:pPr>
              <w:pStyle w:val="ListParagraph"/>
              <w:numPr>
                <w:ilvl w:val="0"/>
                <w:numId w:val="9"/>
              </w:numPr>
              <w:spacing w:after="0" w:line="240" w:lineRule="auto"/>
              <w:ind w:left="360"/>
              <w:jc w:val="both"/>
              <w:rPr>
                <w:rFonts w:cs="Arial"/>
                <w:color w:val="auto"/>
              </w:rPr>
            </w:pPr>
            <w:r w:rsidRPr="00395150">
              <w:rPr>
                <w:rFonts w:cs="Arial"/>
                <w:color w:val="auto"/>
              </w:rPr>
              <w:t>They are responsible for scrutinising the performance of management and need to be satisfied that financial controls, governance and assurance systems are robust and transparent. This will include working to the highest standards of probity, integrity and governance.</w:t>
            </w:r>
          </w:p>
          <w:p w:rsidR="00395150" w:rsidRPr="00395150" w:rsidRDefault="00395150" w:rsidP="00DE432B">
            <w:pPr>
              <w:spacing w:after="0"/>
              <w:jc w:val="both"/>
              <w:rPr>
                <w:rFonts w:cs="Arial"/>
                <w:color w:val="auto"/>
              </w:rPr>
            </w:pPr>
          </w:p>
          <w:p w:rsidR="00395150" w:rsidRPr="00395150" w:rsidRDefault="00395150" w:rsidP="00DE432B">
            <w:pPr>
              <w:pStyle w:val="ListParagraph"/>
              <w:numPr>
                <w:ilvl w:val="0"/>
                <w:numId w:val="9"/>
              </w:numPr>
              <w:spacing w:after="0" w:line="240" w:lineRule="auto"/>
              <w:ind w:left="360"/>
              <w:jc w:val="both"/>
              <w:rPr>
                <w:rFonts w:cs="Arial"/>
                <w:color w:val="auto"/>
              </w:rPr>
            </w:pPr>
            <w:r w:rsidRPr="00395150">
              <w:rPr>
                <w:rFonts w:cs="Arial"/>
                <w:color w:val="auto"/>
              </w:rPr>
              <w:t>The Non-Executive Directors report to the SMBC Contributors</w:t>
            </w:r>
            <w:r w:rsidR="009277D8">
              <w:rPr>
                <w:rFonts w:cs="Arial"/>
                <w:color w:val="auto"/>
              </w:rPr>
              <w:t>’</w:t>
            </w:r>
            <w:r w:rsidRPr="00395150">
              <w:rPr>
                <w:rFonts w:cs="Arial"/>
                <w:color w:val="auto"/>
              </w:rPr>
              <w:t xml:space="preserve"> Committee to provide assurance to the Shareholder. </w:t>
            </w:r>
          </w:p>
          <w:p w:rsidR="00395150" w:rsidRPr="00395150" w:rsidRDefault="00395150" w:rsidP="00DE432B">
            <w:pPr>
              <w:spacing w:after="0"/>
              <w:jc w:val="both"/>
              <w:rPr>
                <w:rFonts w:cs="Arial"/>
                <w:color w:val="auto"/>
              </w:rPr>
            </w:pPr>
          </w:p>
          <w:p w:rsidR="00395150" w:rsidRDefault="00395150" w:rsidP="00DE432B">
            <w:pPr>
              <w:pStyle w:val="ListParagraph"/>
              <w:numPr>
                <w:ilvl w:val="0"/>
                <w:numId w:val="9"/>
              </w:numPr>
              <w:spacing w:after="0" w:line="240" w:lineRule="auto"/>
              <w:ind w:left="360"/>
              <w:jc w:val="both"/>
              <w:rPr>
                <w:rFonts w:cs="Arial"/>
                <w:color w:val="auto"/>
              </w:rPr>
            </w:pPr>
            <w:r w:rsidRPr="00395150">
              <w:rPr>
                <w:rFonts w:cs="Arial"/>
                <w:color w:val="auto"/>
              </w:rPr>
              <w:t>The Chair</w:t>
            </w:r>
            <w:r w:rsidR="00C118B2">
              <w:rPr>
                <w:rFonts w:cs="Arial"/>
                <w:color w:val="auto"/>
              </w:rPr>
              <w:t>man</w:t>
            </w:r>
            <w:r w:rsidRPr="00395150">
              <w:rPr>
                <w:rFonts w:cs="Arial"/>
                <w:color w:val="auto"/>
              </w:rPr>
              <w:t xml:space="preserve"> and Non-Executive Directors are responsible for reviewing the performance of the </w:t>
            </w:r>
            <w:r w:rsidR="009277D8">
              <w:rPr>
                <w:rFonts w:cs="Arial"/>
                <w:color w:val="auto"/>
              </w:rPr>
              <w:t>E</w:t>
            </w:r>
            <w:r w:rsidRPr="00395150">
              <w:rPr>
                <w:rFonts w:cs="Arial"/>
                <w:color w:val="auto"/>
              </w:rPr>
              <w:t xml:space="preserve">xecutive </w:t>
            </w:r>
            <w:r w:rsidR="009277D8">
              <w:rPr>
                <w:rFonts w:cs="Arial"/>
                <w:color w:val="auto"/>
              </w:rPr>
              <w:t>T</w:t>
            </w:r>
            <w:r w:rsidRPr="00395150">
              <w:rPr>
                <w:rFonts w:cs="Arial"/>
                <w:color w:val="auto"/>
              </w:rPr>
              <w:t>eam, determining the appropriate levels of remuneration for Executive Directors and for the appointment of independent auditors.</w:t>
            </w:r>
          </w:p>
          <w:p w:rsidR="00DE432B" w:rsidRPr="00DE432B" w:rsidRDefault="00DE432B" w:rsidP="00DE432B">
            <w:pPr>
              <w:pStyle w:val="ListParagraph"/>
              <w:numPr>
                <w:ilvl w:val="0"/>
                <w:numId w:val="0"/>
              </w:numPr>
              <w:ind w:left="360"/>
              <w:jc w:val="both"/>
              <w:rPr>
                <w:rFonts w:cs="Arial"/>
                <w:color w:val="auto"/>
              </w:rPr>
            </w:pPr>
          </w:p>
          <w:p w:rsidR="00DE432B" w:rsidRDefault="00395150" w:rsidP="00DE432B">
            <w:pPr>
              <w:pStyle w:val="ListParagraph"/>
              <w:numPr>
                <w:ilvl w:val="0"/>
                <w:numId w:val="9"/>
              </w:numPr>
              <w:spacing w:after="0" w:line="240" w:lineRule="auto"/>
              <w:ind w:left="360"/>
              <w:jc w:val="both"/>
              <w:rPr>
                <w:rFonts w:cs="Arial"/>
                <w:color w:val="auto"/>
              </w:rPr>
            </w:pPr>
            <w:r w:rsidRPr="00395150">
              <w:rPr>
                <w:rFonts w:cs="Arial"/>
                <w:color w:val="auto"/>
              </w:rPr>
              <w:t>Non-Executives are required to abide by the Nolan principles in public life, its Code of Conduct and the values of the organisation.</w:t>
            </w:r>
          </w:p>
          <w:p w:rsidR="00C118B2" w:rsidRPr="00DE432B" w:rsidRDefault="00C118B2" w:rsidP="00C118B2">
            <w:pPr>
              <w:pStyle w:val="ListParagraph"/>
              <w:numPr>
                <w:ilvl w:val="0"/>
                <w:numId w:val="0"/>
              </w:numPr>
              <w:spacing w:after="0" w:line="240" w:lineRule="auto"/>
              <w:ind w:left="360"/>
              <w:jc w:val="both"/>
              <w:rPr>
                <w:rFonts w:cs="Arial"/>
                <w:color w:val="auto"/>
              </w:rPr>
            </w:pPr>
          </w:p>
        </w:tc>
      </w:tr>
      <w:tr w:rsidR="00AF4041" w:rsidRPr="00C308DC" w:rsidTr="00395150">
        <w:trPr>
          <w:trHeight w:val="241"/>
        </w:trPr>
        <w:tc>
          <w:tcPr>
            <w:tcW w:w="9129" w:type="dxa"/>
            <w:gridSpan w:val="5"/>
            <w:shd w:val="clear" w:color="auto" w:fill="5C8DC6"/>
            <w:vAlign w:val="center"/>
          </w:tcPr>
          <w:p w:rsidR="00AF4041" w:rsidRPr="009E13AE" w:rsidRDefault="00AF4041" w:rsidP="00AF4041">
            <w:pPr>
              <w:tabs>
                <w:tab w:val="left" w:pos="8280"/>
              </w:tabs>
              <w:spacing w:after="0" w:line="240" w:lineRule="auto"/>
              <w:rPr>
                <w:rFonts w:cs="Arial"/>
                <w:b/>
                <w:color w:val="002060"/>
                <w:sz w:val="20"/>
              </w:rPr>
            </w:pPr>
          </w:p>
          <w:p w:rsidR="00AF4041" w:rsidRPr="00CF68D5" w:rsidRDefault="00DE432B" w:rsidP="00AF4041">
            <w:pPr>
              <w:tabs>
                <w:tab w:val="left" w:pos="8280"/>
              </w:tabs>
              <w:spacing w:after="0" w:line="240" w:lineRule="auto"/>
              <w:rPr>
                <w:rFonts w:cs="Arial"/>
                <w:b/>
                <w:color w:val="FFFFFF" w:themeColor="background1"/>
              </w:rPr>
            </w:pPr>
            <w:r>
              <w:rPr>
                <w:rFonts w:cs="Arial"/>
                <w:b/>
                <w:color w:val="FFFFFF" w:themeColor="background1"/>
              </w:rPr>
              <w:t>Role Profile</w:t>
            </w:r>
          </w:p>
          <w:p w:rsidR="00AF4041" w:rsidRDefault="00AF4041" w:rsidP="00AF4041">
            <w:pPr>
              <w:tabs>
                <w:tab w:val="left" w:pos="8280"/>
              </w:tabs>
              <w:spacing w:after="0" w:line="240" w:lineRule="auto"/>
              <w:rPr>
                <w:b/>
                <w:color w:val="002060"/>
                <w:sz w:val="20"/>
              </w:rPr>
            </w:pPr>
          </w:p>
        </w:tc>
      </w:tr>
      <w:tr w:rsidR="00AF4041" w:rsidRPr="00C308DC" w:rsidTr="00395150">
        <w:trPr>
          <w:trHeight w:val="241"/>
        </w:trPr>
        <w:tc>
          <w:tcPr>
            <w:tcW w:w="9129" w:type="dxa"/>
            <w:gridSpan w:val="5"/>
            <w:shd w:val="clear" w:color="auto" w:fill="auto"/>
            <w:vAlign w:val="center"/>
          </w:tcPr>
          <w:p w:rsidR="00AF4041" w:rsidRPr="00DE432B" w:rsidRDefault="00DE432B" w:rsidP="00DE432B">
            <w:pPr>
              <w:tabs>
                <w:tab w:val="left" w:pos="8280"/>
              </w:tabs>
              <w:spacing w:after="0" w:line="240" w:lineRule="auto"/>
              <w:jc w:val="both"/>
              <w:rPr>
                <w:rFonts w:cs="Arial"/>
                <w:b/>
                <w:color w:val="auto"/>
              </w:rPr>
            </w:pPr>
            <w:r w:rsidRPr="00DE432B">
              <w:rPr>
                <w:rFonts w:cs="Arial"/>
                <w:b/>
                <w:color w:val="auto"/>
              </w:rPr>
              <w:t>Key Responsibilities</w:t>
            </w:r>
          </w:p>
          <w:p w:rsidR="00DE432B" w:rsidRPr="00DE432B" w:rsidRDefault="00DE432B" w:rsidP="00DE432B">
            <w:pPr>
              <w:tabs>
                <w:tab w:val="left" w:pos="8280"/>
              </w:tabs>
              <w:spacing w:after="0" w:line="240" w:lineRule="auto"/>
              <w:jc w:val="both"/>
              <w:rPr>
                <w:rFonts w:cs="Arial"/>
                <w:b/>
                <w:color w:val="auto"/>
              </w:rPr>
            </w:pPr>
          </w:p>
          <w:p w:rsidR="00DE432B" w:rsidRPr="00DE432B" w:rsidRDefault="00DE432B" w:rsidP="00DE432B">
            <w:pPr>
              <w:pStyle w:val="ListParagraph"/>
              <w:numPr>
                <w:ilvl w:val="0"/>
                <w:numId w:val="11"/>
              </w:numPr>
              <w:spacing w:after="0" w:line="240" w:lineRule="auto"/>
              <w:jc w:val="both"/>
              <w:rPr>
                <w:rFonts w:cs="Arial"/>
                <w:b/>
                <w:color w:val="auto"/>
              </w:rPr>
            </w:pPr>
            <w:r w:rsidRPr="00DE432B">
              <w:rPr>
                <w:rFonts w:cs="Arial"/>
                <w:b/>
                <w:color w:val="auto"/>
              </w:rPr>
              <w:t>Constructively challenge and contribute to the development of strategy.</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6"/>
              </w:numPr>
              <w:spacing w:after="0" w:line="240" w:lineRule="auto"/>
              <w:jc w:val="both"/>
              <w:rPr>
                <w:rFonts w:cs="Arial"/>
                <w:color w:val="auto"/>
              </w:rPr>
            </w:pPr>
            <w:r w:rsidRPr="00DE432B">
              <w:rPr>
                <w:rFonts w:cs="Arial"/>
                <w:color w:val="auto"/>
              </w:rPr>
              <w:t>Provide effective feedback, independent judgement and advice to Executive Directors on business plans and the strategic vision for the organisation.  This will include holding the Executive Directors to account on strategic issues.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0"/>
              </w:numPr>
              <w:spacing w:after="0" w:line="240" w:lineRule="auto"/>
              <w:jc w:val="both"/>
              <w:rPr>
                <w:rFonts w:cs="Arial"/>
                <w:color w:val="auto"/>
              </w:rPr>
            </w:pPr>
            <w:r w:rsidRPr="00DE432B">
              <w:rPr>
                <w:rFonts w:cs="Arial"/>
                <w:color w:val="auto"/>
              </w:rPr>
              <w:t>Ensure appropriate controls are in place to deliver the necessary financial and human resources to meet objectives.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0"/>
              </w:numPr>
              <w:spacing w:after="0" w:line="240" w:lineRule="auto"/>
              <w:jc w:val="both"/>
              <w:rPr>
                <w:rFonts w:cs="Arial"/>
                <w:color w:val="auto"/>
              </w:rPr>
            </w:pPr>
            <w:r w:rsidRPr="00DE432B">
              <w:rPr>
                <w:rFonts w:cs="Arial"/>
                <w:color w:val="auto"/>
              </w:rPr>
              <w:t>Bring independent judgement and experience and apply this to the benefit of the Company, its stakeholder and the wider community.</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0"/>
              </w:numPr>
              <w:spacing w:after="0" w:line="240" w:lineRule="auto"/>
              <w:jc w:val="both"/>
              <w:rPr>
                <w:rFonts w:cs="Arial"/>
                <w:color w:val="auto"/>
              </w:rPr>
            </w:pPr>
            <w:r w:rsidRPr="00DE432B">
              <w:rPr>
                <w:rFonts w:cs="Arial"/>
                <w:color w:val="auto"/>
              </w:rPr>
              <w:t>Contribute to the maintenance of an appropriate relationship with SMBC and its governance committee.</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1"/>
              </w:numPr>
              <w:spacing w:after="0" w:line="240" w:lineRule="auto"/>
              <w:jc w:val="both"/>
              <w:rPr>
                <w:rFonts w:cs="Arial"/>
                <w:b/>
                <w:color w:val="auto"/>
              </w:rPr>
            </w:pPr>
            <w:r w:rsidRPr="00DE432B">
              <w:rPr>
                <w:rFonts w:cs="Arial"/>
                <w:b/>
                <w:color w:val="auto"/>
              </w:rPr>
              <w:t xml:space="preserve">Scrutinise the performance management of the Company and ensure that financial plans and business objectives are met.  </w:t>
            </w:r>
          </w:p>
          <w:p w:rsidR="00DE432B" w:rsidRPr="00DE432B" w:rsidRDefault="00DE432B" w:rsidP="00DE432B">
            <w:pPr>
              <w:spacing w:after="0" w:line="240" w:lineRule="auto"/>
              <w:jc w:val="both"/>
              <w:rPr>
                <w:rFonts w:cs="Arial"/>
                <w:b/>
                <w:color w:val="auto"/>
              </w:rPr>
            </w:pPr>
          </w:p>
          <w:p w:rsidR="00DE432B" w:rsidRPr="00DE432B" w:rsidRDefault="00DE432B" w:rsidP="00DE432B">
            <w:pPr>
              <w:pStyle w:val="ListParagraph"/>
              <w:numPr>
                <w:ilvl w:val="0"/>
                <w:numId w:val="12"/>
              </w:numPr>
              <w:spacing w:after="0" w:line="240" w:lineRule="auto"/>
              <w:jc w:val="both"/>
              <w:rPr>
                <w:rFonts w:cs="Arial"/>
                <w:color w:val="auto"/>
              </w:rPr>
            </w:pPr>
            <w:r w:rsidRPr="00DE432B">
              <w:rPr>
                <w:rFonts w:cs="Arial"/>
                <w:color w:val="auto"/>
              </w:rPr>
              <w:t>Review and assess the Company’s performance across finance, operations and human resources.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2"/>
              </w:numPr>
              <w:spacing w:after="0" w:line="240" w:lineRule="auto"/>
              <w:jc w:val="both"/>
              <w:rPr>
                <w:rFonts w:cs="Arial"/>
                <w:color w:val="auto"/>
              </w:rPr>
            </w:pPr>
            <w:r w:rsidRPr="00DE432B">
              <w:rPr>
                <w:rFonts w:cs="Arial"/>
                <w:color w:val="auto"/>
              </w:rPr>
              <w:t>Utilise commercial expertise to review plans from a business perspective and ensure value for money and high levels of probity.</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2"/>
              </w:numPr>
              <w:spacing w:after="0" w:line="240" w:lineRule="auto"/>
              <w:jc w:val="both"/>
              <w:rPr>
                <w:rFonts w:cs="Arial"/>
                <w:color w:val="auto"/>
              </w:rPr>
            </w:pPr>
            <w:r w:rsidRPr="00DE432B">
              <w:rPr>
                <w:rFonts w:cs="Arial"/>
                <w:color w:val="auto"/>
              </w:rPr>
              <w:t>Approve major investment plans.  Monitor the performance and conduct of management in meeting agreed goals and objectives including the preparation of the annual reports, accounts and upholding other regulatory and statutory standards.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1"/>
              </w:numPr>
              <w:spacing w:after="0" w:line="240" w:lineRule="auto"/>
              <w:jc w:val="both"/>
              <w:rPr>
                <w:rFonts w:cs="Arial"/>
                <w:b/>
                <w:color w:val="auto"/>
              </w:rPr>
            </w:pPr>
            <w:r w:rsidRPr="00DE432B">
              <w:rPr>
                <w:rFonts w:cs="Arial"/>
                <w:b/>
                <w:color w:val="auto"/>
              </w:rPr>
              <w:t>Ensure financial information is accurate and that financial and risk controls and systems are robust and defensible.</w:t>
            </w:r>
          </w:p>
          <w:p w:rsidR="00DE432B" w:rsidRPr="00DE432B" w:rsidRDefault="00DE432B" w:rsidP="00DE432B">
            <w:pPr>
              <w:spacing w:after="0" w:line="240" w:lineRule="auto"/>
              <w:jc w:val="both"/>
              <w:rPr>
                <w:rFonts w:cs="Arial"/>
                <w:b/>
                <w:color w:val="auto"/>
              </w:rPr>
            </w:pPr>
          </w:p>
          <w:p w:rsidR="00DE432B" w:rsidRPr="00DE432B" w:rsidRDefault="00DE432B" w:rsidP="00DE432B">
            <w:pPr>
              <w:pStyle w:val="ListParagraph"/>
              <w:numPr>
                <w:ilvl w:val="0"/>
                <w:numId w:val="13"/>
              </w:numPr>
              <w:spacing w:after="0" w:line="240" w:lineRule="auto"/>
              <w:jc w:val="both"/>
              <w:rPr>
                <w:rFonts w:cs="Arial"/>
                <w:color w:val="auto"/>
              </w:rPr>
            </w:pPr>
            <w:r w:rsidRPr="00DE432B">
              <w:rPr>
                <w:rFonts w:cs="Arial"/>
                <w:color w:val="auto"/>
              </w:rPr>
              <w:t>Participate in the audit process including attendance at Audit &amp; Risk Committee meetings, to ensure external and internal auditors have evaluated all systems and that the Company is working to appropriate standards.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3"/>
              </w:numPr>
              <w:spacing w:after="0" w:line="240" w:lineRule="auto"/>
              <w:jc w:val="both"/>
              <w:rPr>
                <w:rFonts w:cs="Arial"/>
                <w:color w:val="auto"/>
              </w:rPr>
            </w:pPr>
            <w:r w:rsidRPr="00DE432B">
              <w:rPr>
                <w:rFonts w:cs="Arial"/>
                <w:color w:val="auto"/>
              </w:rPr>
              <w:t>Review the risk management, governance and assurance framework of prudent and effective controls, which enable risk to be identified, assessed and managed.</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3"/>
              </w:numPr>
              <w:spacing w:after="0" w:line="240" w:lineRule="auto"/>
              <w:jc w:val="both"/>
              <w:rPr>
                <w:rFonts w:cs="Arial"/>
                <w:color w:val="auto"/>
              </w:rPr>
            </w:pPr>
            <w:r w:rsidRPr="00DE432B">
              <w:rPr>
                <w:rFonts w:cs="Arial"/>
                <w:color w:val="auto"/>
              </w:rPr>
              <w:t>Approve the annual business plan and budget.</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1"/>
              </w:numPr>
              <w:spacing w:after="0" w:line="240" w:lineRule="auto"/>
              <w:jc w:val="both"/>
              <w:rPr>
                <w:rFonts w:cs="Arial"/>
                <w:b/>
                <w:color w:val="auto"/>
              </w:rPr>
            </w:pPr>
            <w:r w:rsidRPr="00DE432B">
              <w:rPr>
                <w:rFonts w:cs="Arial"/>
                <w:b/>
                <w:color w:val="auto"/>
              </w:rPr>
              <w:t xml:space="preserve">Determine with the </w:t>
            </w:r>
            <w:r w:rsidR="00AA3169">
              <w:rPr>
                <w:rFonts w:cs="Arial"/>
                <w:b/>
                <w:color w:val="auto"/>
              </w:rPr>
              <w:t>Chair</w:t>
            </w:r>
            <w:r w:rsidR="00C118B2">
              <w:rPr>
                <w:rFonts w:cs="Arial"/>
                <w:b/>
                <w:color w:val="auto"/>
              </w:rPr>
              <w:t>man</w:t>
            </w:r>
            <w:r w:rsidRPr="00DE432B">
              <w:rPr>
                <w:rFonts w:cs="Arial"/>
                <w:b/>
                <w:color w:val="auto"/>
              </w:rPr>
              <w:t xml:space="preserve"> appropriate levels of remuneration for Executive Directors.</w:t>
            </w:r>
          </w:p>
          <w:p w:rsidR="00DE432B" w:rsidRPr="00DE432B" w:rsidRDefault="00DE432B" w:rsidP="00DE432B">
            <w:pPr>
              <w:spacing w:after="0" w:line="240" w:lineRule="auto"/>
              <w:jc w:val="both"/>
              <w:rPr>
                <w:rFonts w:cs="Arial"/>
                <w:b/>
                <w:color w:val="auto"/>
              </w:rPr>
            </w:pPr>
          </w:p>
          <w:p w:rsidR="00DE432B" w:rsidRPr="00DE432B" w:rsidRDefault="00DE432B" w:rsidP="00DE432B">
            <w:pPr>
              <w:pStyle w:val="ListParagraph"/>
              <w:numPr>
                <w:ilvl w:val="0"/>
                <w:numId w:val="14"/>
              </w:numPr>
              <w:spacing w:after="0" w:line="240" w:lineRule="auto"/>
              <w:jc w:val="both"/>
              <w:rPr>
                <w:rFonts w:cs="Arial"/>
                <w:color w:val="auto"/>
              </w:rPr>
            </w:pPr>
            <w:r w:rsidRPr="00DE432B">
              <w:rPr>
                <w:rFonts w:cs="Arial"/>
                <w:color w:val="auto"/>
              </w:rPr>
              <w:t>Participate in the Remuneration Committee to review performance and recommend salary proposals for the Executive Directors on an annual basis.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4"/>
              </w:numPr>
              <w:spacing w:after="0" w:line="240" w:lineRule="auto"/>
              <w:jc w:val="both"/>
              <w:rPr>
                <w:rFonts w:cs="Arial"/>
                <w:color w:val="auto"/>
              </w:rPr>
            </w:pPr>
            <w:r w:rsidRPr="00DE432B">
              <w:rPr>
                <w:rFonts w:cs="Arial"/>
                <w:color w:val="auto"/>
              </w:rPr>
              <w:t>Support and encourage senior Executives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4"/>
              </w:numPr>
              <w:spacing w:after="0" w:line="240" w:lineRule="auto"/>
              <w:jc w:val="both"/>
              <w:rPr>
                <w:rFonts w:cs="Arial"/>
                <w:color w:val="auto"/>
              </w:rPr>
            </w:pPr>
            <w:r w:rsidRPr="00DE432B">
              <w:rPr>
                <w:rFonts w:cs="Arial"/>
                <w:color w:val="auto"/>
              </w:rPr>
              <w:t xml:space="preserve">Participate in the performance appraisal of the </w:t>
            </w:r>
            <w:r w:rsidR="00AA3169">
              <w:rPr>
                <w:rFonts w:cs="Arial"/>
                <w:color w:val="auto"/>
              </w:rPr>
              <w:t>Chair</w:t>
            </w:r>
            <w:r w:rsidR="00C118B2">
              <w:rPr>
                <w:rFonts w:cs="Arial"/>
                <w:color w:val="auto"/>
              </w:rPr>
              <w:t>man</w:t>
            </w:r>
            <w:r w:rsidRPr="00DE432B">
              <w:rPr>
                <w:rFonts w:cs="Arial"/>
                <w:color w:val="auto"/>
              </w:rPr>
              <w:t>.</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4"/>
              </w:numPr>
              <w:spacing w:after="0" w:line="240" w:lineRule="auto"/>
              <w:jc w:val="both"/>
              <w:rPr>
                <w:rFonts w:cs="Arial"/>
                <w:color w:val="auto"/>
              </w:rPr>
            </w:pPr>
            <w:r w:rsidRPr="00DE432B">
              <w:rPr>
                <w:rFonts w:cs="Arial"/>
                <w:color w:val="auto"/>
              </w:rPr>
              <w:t>Review reports from management on any major changes in pensions and benefits for the wider workforce.</w:t>
            </w:r>
          </w:p>
          <w:p w:rsid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1"/>
              </w:numPr>
              <w:spacing w:after="0" w:line="240" w:lineRule="auto"/>
              <w:jc w:val="both"/>
              <w:rPr>
                <w:rFonts w:cs="Arial"/>
                <w:b/>
                <w:color w:val="auto"/>
              </w:rPr>
            </w:pPr>
            <w:r w:rsidRPr="00DE432B">
              <w:rPr>
                <w:rFonts w:cs="Arial"/>
                <w:b/>
                <w:color w:val="auto"/>
              </w:rPr>
              <w:t xml:space="preserve">Work collectively with other board members to reach decisions and uphold the values of the Company and its shareholder. </w:t>
            </w:r>
          </w:p>
          <w:p w:rsidR="00DE432B" w:rsidRPr="00DE432B" w:rsidRDefault="00DE432B" w:rsidP="00DE432B">
            <w:pPr>
              <w:spacing w:after="0" w:line="240" w:lineRule="auto"/>
              <w:jc w:val="both"/>
              <w:rPr>
                <w:rFonts w:cs="Arial"/>
                <w:b/>
                <w:color w:val="auto"/>
              </w:rPr>
            </w:pPr>
          </w:p>
          <w:p w:rsidR="00DE432B" w:rsidRPr="00DE432B" w:rsidRDefault="00DE432B" w:rsidP="00DE432B">
            <w:pPr>
              <w:pStyle w:val="ListParagraph"/>
              <w:numPr>
                <w:ilvl w:val="0"/>
                <w:numId w:val="15"/>
              </w:numPr>
              <w:spacing w:after="0" w:line="240" w:lineRule="auto"/>
              <w:jc w:val="both"/>
              <w:rPr>
                <w:rFonts w:cs="Arial"/>
                <w:color w:val="auto"/>
              </w:rPr>
            </w:pPr>
            <w:r w:rsidRPr="00DE432B">
              <w:rPr>
                <w:rFonts w:cs="Arial"/>
                <w:color w:val="auto"/>
              </w:rPr>
              <w:t>Uphold the culture and values of the Company and ensure that the Company promotes equality and diversity for all its staff and stakeholders.  Ensure that obligations to its shareholder are understood and fairly balanced at all times.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5"/>
              </w:numPr>
              <w:spacing w:after="0" w:line="240" w:lineRule="auto"/>
              <w:jc w:val="both"/>
              <w:rPr>
                <w:rFonts w:cs="Arial"/>
                <w:color w:val="auto"/>
              </w:rPr>
            </w:pPr>
            <w:r w:rsidRPr="00DE432B">
              <w:rPr>
                <w:rFonts w:cs="Arial"/>
                <w:color w:val="auto"/>
              </w:rPr>
              <w:t>Engage positively and collaboratively in board discussions.</w:t>
            </w:r>
          </w:p>
          <w:p w:rsidR="00DE432B" w:rsidRPr="00DE432B" w:rsidRDefault="00DE432B" w:rsidP="00DE432B">
            <w:pPr>
              <w:spacing w:after="0" w:line="240" w:lineRule="auto"/>
              <w:jc w:val="both"/>
              <w:rPr>
                <w:rFonts w:cs="Arial"/>
                <w:color w:val="auto"/>
              </w:rPr>
            </w:pPr>
          </w:p>
          <w:p w:rsidR="00DE432B" w:rsidRPr="00DE432B" w:rsidRDefault="00DE432B" w:rsidP="00DE432B">
            <w:pPr>
              <w:pStyle w:val="ListParagraph"/>
              <w:numPr>
                <w:ilvl w:val="0"/>
                <w:numId w:val="15"/>
              </w:numPr>
              <w:spacing w:after="0" w:line="240" w:lineRule="auto"/>
              <w:jc w:val="both"/>
              <w:rPr>
                <w:rFonts w:cs="Arial"/>
                <w:color w:val="auto"/>
              </w:rPr>
            </w:pPr>
            <w:r w:rsidRPr="00DE432B">
              <w:rPr>
                <w:rFonts w:cs="Arial"/>
                <w:color w:val="auto"/>
              </w:rPr>
              <w:t>Participate in committees or sub-committees of the board.</w:t>
            </w:r>
          </w:p>
          <w:p w:rsidR="00DE432B" w:rsidRPr="00DE432B" w:rsidRDefault="00DE432B" w:rsidP="00DE432B">
            <w:pPr>
              <w:spacing w:after="0" w:line="240" w:lineRule="auto"/>
              <w:jc w:val="both"/>
              <w:rPr>
                <w:rFonts w:cs="Arial"/>
                <w:color w:val="auto"/>
              </w:rPr>
            </w:pPr>
          </w:p>
          <w:p w:rsidR="00DE432B" w:rsidRPr="00C118B2" w:rsidRDefault="00DE432B" w:rsidP="00C118B2">
            <w:pPr>
              <w:pStyle w:val="ListParagraph"/>
              <w:numPr>
                <w:ilvl w:val="0"/>
                <w:numId w:val="15"/>
              </w:numPr>
              <w:spacing w:after="0" w:line="240" w:lineRule="auto"/>
              <w:jc w:val="both"/>
              <w:rPr>
                <w:rFonts w:cs="Arial"/>
                <w:color w:val="auto"/>
              </w:rPr>
            </w:pPr>
            <w:r w:rsidRPr="00DE432B">
              <w:rPr>
                <w:rFonts w:cs="Arial"/>
                <w:color w:val="auto"/>
              </w:rPr>
              <w:t>Agree specific objectives with the Chair</w:t>
            </w:r>
            <w:r w:rsidR="00C118B2">
              <w:rPr>
                <w:rFonts w:cs="Arial"/>
                <w:color w:val="auto"/>
              </w:rPr>
              <w:t>man</w:t>
            </w:r>
            <w:r w:rsidRPr="00DE432B">
              <w:rPr>
                <w:rFonts w:cs="Arial"/>
                <w:color w:val="auto"/>
              </w:rPr>
              <w:t xml:space="preserve"> on an annual basis</w:t>
            </w:r>
            <w:bookmarkStart w:id="0" w:name="_GoBack"/>
            <w:bookmarkEnd w:id="0"/>
          </w:p>
        </w:tc>
      </w:tr>
      <w:tr w:rsidR="00AF4041" w:rsidRPr="00C308DC" w:rsidTr="00395150">
        <w:trPr>
          <w:trHeight w:val="241"/>
        </w:trPr>
        <w:tc>
          <w:tcPr>
            <w:tcW w:w="9129" w:type="dxa"/>
            <w:gridSpan w:val="5"/>
            <w:shd w:val="clear" w:color="auto" w:fill="5C8DC6"/>
            <w:vAlign w:val="center"/>
          </w:tcPr>
          <w:p w:rsidR="00DE432B" w:rsidRPr="00DE432B" w:rsidRDefault="00DE432B" w:rsidP="00AF4041">
            <w:pPr>
              <w:shd w:val="clear" w:color="auto" w:fill="5C8DC6"/>
              <w:tabs>
                <w:tab w:val="left" w:pos="8280"/>
              </w:tabs>
              <w:spacing w:after="0" w:line="240" w:lineRule="auto"/>
              <w:rPr>
                <w:b/>
                <w:color w:val="FFFFFF" w:themeColor="background1"/>
              </w:rPr>
            </w:pPr>
          </w:p>
          <w:p w:rsidR="00AF4041" w:rsidRPr="00DE432B" w:rsidRDefault="00DE432B" w:rsidP="00AF4041">
            <w:pPr>
              <w:shd w:val="clear" w:color="auto" w:fill="5C8DC6"/>
              <w:tabs>
                <w:tab w:val="left" w:pos="8280"/>
              </w:tabs>
              <w:spacing w:after="0" w:line="240" w:lineRule="auto"/>
              <w:rPr>
                <w:rFonts w:cs="Arial"/>
                <w:b/>
                <w:color w:val="FFFFFF" w:themeColor="background1"/>
              </w:rPr>
            </w:pPr>
            <w:r w:rsidRPr="00DE432B">
              <w:rPr>
                <w:b/>
                <w:color w:val="FFFFFF" w:themeColor="background1"/>
              </w:rPr>
              <w:t xml:space="preserve">Other Information </w:t>
            </w:r>
          </w:p>
          <w:p w:rsidR="00AF4041" w:rsidRPr="00DE432B" w:rsidRDefault="00AF4041" w:rsidP="00AF4041">
            <w:pPr>
              <w:tabs>
                <w:tab w:val="left" w:pos="8280"/>
              </w:tabs>
              <w:spacing w:after="0" w:line="240" w:lineRule="auto"/>
              <w:rPr>
                <w:b/>
                <w:color w:val="FFFFFF" w:themeColor="background1"/>
              </w:rPr>
            </w:pPr>
          </w:p>
        </w:tc>
      </w:tr>
      <w:tr w:rsidR="00AF4041" w:rsidRPr="00C308DC" w:rsidTr="00395150">
        <w:trPr>
          <w:trHeight w:val="241"/>
        </w:trPr>
        <w:tc>
          <w:tcPr>
            <w:tcW w:w="9129" w:type="dxa"/>
            <w:gridSpan w:val="5"/>
            <w:shd w:val="clear" w:color="auto" w:fill="auto"/>
            <w:vAlign w:val="center"/>
          </w:tcPr>
          <w:p w:rsidR="00AF4041" w:rsidRPr="00AA3169" w:rsidRDefault="00AF4041" w:rsidP="00DE432B">
            <w:pPr>
              <w:spacing w:after="0" w:line="240" w:lineRule="auto"/>
              <w:rPr>
                <w:b/>
                <w:color w:val="auto"/>
                <w:sz w:val="20"/>
              </w:rPr>
            </w:pPr>
          </w:p>
          <w:p w:rsidR="00DE432B" w:rsidRPr="00AA3169" w:rsidRDefault="00DE432B" w:rsidP="00DE432B">
            <w:pPr>
              <w:tabs>
                <w:tab w:val="left" w:pos="285"/>
              </w:tabs>
              <w:spacing w:after="0" w:line="240" w:lineRule="auto"/>
              <w:jc w:val="both"/>
              <w:rPr>
                <w:rFonts w:cs="Arial"/>
                <w:b/>
                <w:color w:val="auto"/>
              </w:rPr>
            </w:pPr>
            <w:r w:rsidRPr="00AA3169">
              <w:rPr>
                <w:rFonts w:cs="Arial"/>
                <w:b/>
                <w:color w:val="auto"/>
              </w:rPr>
              <w:t>1</w:t>
            </w:r>
            <w:r w:rsidRPr="00AA3169">
              <w:rPr>
                <w:rFonts w:cs="Arial"/>
                <w:b/>
                <w:color w:val="auto"/>
              </w:rPr>
              <w:tab/>
              <w:t>Time Commitment</w:t>
            </w:r>
          </w:p>
          <w:p w:rsidR="00DE432B" w:rsidRPr="00AA3169" w:rsidRDefault="00DE432B" w:rsidP="00DE432B">
            <w:pPr>
              <w:spacing w:after="0" w:line="240" w:lineRule="auto"/>
              <w:ind w:left="284"/>
              <w:jc w:val="both"/>
              <w:rPr>
                <w:rFonts w:cs="Arial"/>
                <w:color w:val="auto"/>
              </w:rPr>
            </w:pPr>
          </w:p>
          <w:p w:rsidR="00DE432B" w:rsidRPr="00AA3169" w:rsidRDefault="00DE432B" w:rsidP="00DE432B">
            <w:pPr>
              <w:spacing w:after="0" w:line="240" w:lineRule="auto"/>
              <w:ind w:left="284"/>
              <w:jc w:val="both"/>
              <w:rPr>
                <w:rFonts w:cs="Arial"/>
                <w:color w:val="auto"/>
              </w:rPr>
            </w:pPr>
            <w:r w:rsidRPr="00AA3169">
              <w:rPr>
                <w:rFonts w:cs="Arial"/>
                <w:color w:val="auto"/>
              </w:rPr>
              <w:t>You will be expected to dedicate 4 days per month.  Meetings are generally held during the working day.  The appointment will be for a fixed period of 3 years with the option for an extension subject to satisfactory appraisal.</w:t>
            </w:r>
          </w:p>
          <w:p w:rsidR="00DE432B" w:rsidRPr="00AA3169" w:rsidRDefault="00DE432B" w:rsidP="00DE432B">
            <w:pPr>
              <w:spacing w:after="0" w:line="240" w:lineRule="auto"/>
              <w:ind w:left="426"/>
              <w:jc w:val="both"/>
              <w:rPr>
                <w:rFonts w:cs="Arial"/>
                <w:color w:val="auto"/>
              </w:rPr>
            </w:pPr>
          </w:p>
          <w:p w:rsidR="00DE432B" w:rsidRPr="00AA3169" w:rsidRDefault="00DE432B" w:rsidP="00DE432B">
            <w:pPr>
              <w:tabs>
                <w:tab w:val="left" w:pos="270"/>
              </w:tabs>
              <w:spacing w:after="0" w:line="240" w:lineRule="auto"/>
              <w:jc w:val="both"/>
              <w:rPr>
                <w:rFonts w:cs="Arial"/>
                <w:b/>
                <w:color w:val="auto"/>
              </w:rPr>
            </w:pPr>
            <w:r w:rsidRPr="00AA3169">
              <w:rPr>
                <w:rFonts w:cs="Arial"/>
                <w:b/>
                <w:color w:val="auto"/>
              </w:rPr>
              <w:t>2</w:t>
            </w:r>
            <w:r w:rsidRPr="00AA3169">
              <w:rPr>
                <w:rFonts w:cs="Arial"/>
                <w:b/>
                <w:color w:val="auto"/>
              </w:rPr>
              <w:tab/>
              <w:t>Remuneration</w:t>
            </w:r>
          </w:p>
          <w:p w:rsidR="00DE432B" w:rsidRPr="00AA3169" w:rsidRDefault="00DE432B" w:rsidP="00DE432B">
            <w:pPr>
              <w:spacing w:after="0" w:line="240" w:lineRule="auto"/>
              <w:ind w:left="426"/>
              <w:jc w:val="both"/>
              <w:rPr>
                <w:rFonts w:cs="Arial"/>
                <w:color w:val="auto"/>
              </w:rPr>
            </w:pPr>
          </w:p>
          <w:p w:rsidR="00DE432B" w:rsidRPr="00AA3169" w:rsidRDefault="00DE432B" w:rsidP="00DE432B">
            <w:pPr>
              <w:spacing w:after="0" w:line="240" w:lineRule="auto"/>
              <w:ind w:left="284"/>
              <w:jc w:val="both"/>
              <w:rPr>
                <w:rFonts w:cs="Arial"/>
                <w:color w:val="auto"/>
              </w:rPr>
            </w:pPr>
            <w:r w:rsidRPr="00AA3169">
              <w:rPr>
                <w:rFonts w:cs="Arial"/>
                <w:color w:val="auto"/>
              </w:rPr>
              <w:t>The remuneration for the role is £1</w:t>
            </w:r>
            <w:r w:rsidR="00C118B2">
              <w:rPr>
                <w:rFonts w:cs="Arial"/>
                <w:color w:val="auto"/>
              </w:rPr>
              <w:t>5,656</w:t>
            </w:r>
            <w:r w:rsidRPr="00AA3169">
              <w:rPr>
                <w:rFonts w:cs="Arial"/>
                <w:color w:val="auto"/>
              </w:rPr>
              <w:t xml:space="preserve"> pa and taxable under Schedule E and subject to National Insurance contributions.  There is the opportunity to join the NEST contributory pension scheme.  Non-Executive Directors are eligible to claim expenses for travel and subsistence costs necessarily incurred on behalf of the business.</w:t>
            </w:r>
          </w:p>
          <w:p w:rsidR="00DE432B" w:rsidRPr="00AA3169" w:rsidRDefault="00DE432B" w:rsidP="00DE432B">
            <w:pPr>
              <w:spacing w:after="0" w:line="240" w:lineRule="auto"/>
              <w:ind w:left="284"/>
              <w:jc w:val="both"/>
              <w:rPr>
                <w:rFonts w:cs="Arial"/>
                <w:color w:val="auto"/>
              </w:rPr>
            </w:pPr>
          </w:p>
          <w:p w:rsidR="00DE432B" w:rsidRPr="00AA3169" w:rsidRDefault="00DE432B" w:rsidP="00DE432B">
            <w:pPr>
              <w:spacing w:after="0" w:line="240" w:lineRule="auto"/>
              <w:jc w:val="both"/>
              <w:rPr>
                <w:rFonts w:cs="Arial"/>
                <w:b/>
                <w:color w:val="auto"/>
              </w:rPr>
            </w:pPr>
            <w:r w:rsidRPr="00AA3169">
              <w:rPr>
                <w:rFonts w:cs="Arial"/>
                <w:b/>
                <w:color w:val="auto"/>
              </w:rPr>
              <w:t>3  Equality and Diversity</w:t>
            </w:r>
          </w:p>
          <w:p w:rsidR="00DE432B" w:rsidRPr="00AA3169" w:rsidRDefault="00DE432B" w:rsidP="00DE432B">
            <w:pPr>
              <w:spacing w:after="0" w:line="240" w:lineRule="auto"/>
              <w:ind w:left="426"/>
              <w:jc w:val="both"/>
              <w:rPr>
                <w:rFonts w:cs="Arial"/>
                <w:b/>
                <w:color w:val="auto"/>
              </w:rPr>
            </w:pPr>
          </w:p>
          <w:p w:rsidR="00DE432B" w:rsidRPr="00AA3169" w:rsidRDefault="00DE432B" w:rsidP="00DE432B">
            <w:pPr>
              <w:spacing w:after="0" w:line="240" w:lineRule="auto"/>
              <w:ind w:left="284"/>
              <w:jc w:val="both"/>
              <w:rPr>
                <w:rFonts w:cs="Arial"/>
                <w:color w:val="auto"/>
              </w:rPr>
            </w:pPr>
            <w:r w:rsidRPr="00AA3169">
              <w:rPr>
                <w:rFonts w:cs="Arial"/>
                <w:color w:val="auto"/>
              </w:rPr>
              <w:t>Totally Local operates an Equal Opportunity policy and expects Non-Executive Directors to have a commitment to its policies in relation to employment and service delivery.</w:t>
            </w:r>
          </w:p>
          <w:p w:rsidR="00976232" w:rsidRPr="00AA3169" w:rsidRDefault="00976232" w:rsidP="00DE432B">
            <w:pPr>
              <w:spacing w:after="0" w:line="240" w:lineRule="auto"/>
              <w:rPr>
                <w:b/>
                <w:color w:val="auto"/>
                <w:sz w:val="20"/>
              </w:rPr>
            </w:pPr>
          </w:p>
        </w:tc>
      </w:tr>
      <w:tr w:rsidR="00824E08" w:rsidRPr="00C308DC" w:rsidTr="00395150">
        <w:trPr>
          <w:trHeight w:val="241"/>
        </w:trPr>
        <w:tc>
          <w:tcPr>
            <w:tcW w:w="3118" w:type="dxa"/>
            <w:gridSpan w:val="2"/>
            <w:shd w:val="clear" w:color="auto" w:fill="5C8DC6"/>
            <w:vAlign w:val="center"/>
          </w:tcPr>
          <w:p w:rsidR="00824E08" w:rsidRPr="003366DC" w:rsidRDefault="00824E08" w:rsidP="00824E08">
            <w:pPr>
              <w:widowControl w:val="0"/>
              <w:spacing w:after="0" w:line="240" w:lineRule="auto"/>
              <w:rPr>
                <w:rFonts w:cs="Arial"/>
                <w:b/>
                <w:color w:val="FFFFFF" w:themeColor="background1"/>
              </w:rPr>
            </w:pPr>
          </w:p>
          <w:p w:rsidR="00824E08" w:rsidRPr="003366DC" w:rsidRDefault="00824E08" w:rsidP="00824E08">
            <w:pPr>
              <w:widowControl w:val="0"/>
              <w:spacing w:after="0" w:line="240" w:lineRule="auto"/>
              <w:rPr>
                <w:rFonts w:cs="Arial"/>
                <w:b/>
                <w:color w:val="FFFFFF" w:themeColor="background1"/>
              </w:rPr>
            </w:pPr>
            <w:r w:rsidRPr="003366DC">
              <w:rPr>
                <w:rFonts w:cs="Arial"/>
                <w:b/>
                <w:color w:val="FFFFFF" w:themeColor="background1"/>
              </w:rPr>
              <w:t>Print Name</w:t>
            </w:r>
          </w:p>
          <w:p w:rsidR="00824E08" w:rsidRPr="003366DC" w:rsidRDefault="00824E08" w:rsidP="00824E08">
            <w:pPr>
              <w:widowControl w:val="0"/>
              <w:spacing w:after="0" w:line="240" w:lineRule="auto"/>
              <w:rPr>
                <w:rFonts w:cs="Arial"/>
                <w:b/>
                <w:color w:val="FFFFFF" w:themeColor="background1"/>
              </w:rPr>
            </w:pPr>
          </w:p>
        </w:tc>
        <w:tc>
          <w:tcPr>
            <w:tcW w:w="2802" w:type="dxa"/>
            <w:shd w:val="clear" w:color="auto" w:fill="auto"/>
            <w:vAlign w:val="center"/>
          </w:tcPr>
          <w:p w:rsidR="00824E08" w:rsidRPr="003366DC" w:rsidRDefault="00824E08" w:rsidP="00824E08">
            <w:pPr>
              <w:widowControl w:val="0"/>
              <w:spacing w:after="0" w:line="240" w:lineRule="auto"/>
              <w:rPr>
                <w:rFonts w:eastAsia="Times New Roman" w:cs="Arial"/>
                <w:snapToGrid w:val="0"/>
                <w:color w:val="auto"/>
                <w:szCs w:val="24"/>
                <w:lang w:val="en-US"/>
              </w:rPr>
            </w:pPr>
          </w:p>
        </w:tc>
        <w:tc>
          <w:tcPr>
            <w:tcW w:w="851" w:type="dxa"/>
            <w:shd w:val="clear" w:color="auto" w:fill="5C8DC6"/>
            <w:vAlign w:val="center"/>
          </w:tcPr>
          <w:p w:rsidR="00824E08" w:rsidRPr="002210F0" w:rsidRDefault="00824E08" w:rsidP="00824E08">
            <w:pPr>
              <w:widowControl w:val="0"/>
              <w:spacing w:after="0" w:line="240" w:lineRule="auto"/>
              <w:rPr>
                <w:rFonts w:eastAsia="Times New Roman" w:cs="Arial"/>
                <w:snapToGrid w:val="0"/>
                <w:color w:val="auto"/>
                <w:szCs w:val="24"/>
                <w:lang w:val="en-US"/>
              </w:rPr>
            </w:pPr>
            <w:r w:rsidRPr="003366DC">
              <w:rPr>
                <w:rFonts w:cs="Arial"/>
                <w:b/>
                <w:color w:val="FFFFFF" w:themeColor="background1"/>
              </w:rPr>
              <w:t>Date</w:t>
            </w:r>
          </w:p>
        </w:tc>
        <w:tc>
          <w:tcPr>
            <w:tcW w:w="2358" w:type="dxa"/>
            <w:shd w:val="clear" w:color="auto" w:fill="auto"/>
            <w:vAlign w:val="center"/>
          </w:tcPr>
          <w:p w:rsidR="00824E08" w:rsidRPr="002210F0" w:rsidRDefault="00824E08" w:rsidP="00824E08">
            <w:pPr>
              <w:widowControl w:val="0"/>
              <w:spacing w:after="0" w:line="240" w:lineRule="auto"/>
              <w:rPr>
                <w:rFonts w:eastAsia="Times New Roman" w:cs="Arial"/>
                <w:snapToGrid w:val="0"/>
                <w:color w:val="auto"/>
                <w:szCs w:val="24"/>
                <w:lang w:val="en-US"/>
              </w:rPr>
            </w:pPr>
          </w:p>
        </w:tc>
      </w:tr>
      <w:tr w:rsidR="00824E08" w:rsidRPr="00C308DC" w:rsidTr="00395150">
        <w:trPr>
          <w:trHeight w:val="241"/>
        </w:trPr>
        <w:tc>
          <w:tcPr>
            <w:tcW w:w="3118" w:type="dxa"/>
            <w:gridSpan w:val="2"/>
            <w:shd w:val="clear" w:color="auto" w:fill="5C8DC6"/>
            <w:vAlign w:val="center"/>
          </w:tcPr>
          <w:p w:rsidR="00824E08" w:rsidRPr="003366DC" w:rsidRDefault="00824E08" w:rsidP="00824E08">
            <w:pPr>
              <w:widowControl w:val="0"/>
              <w:spacing w:after="0" w:line="240" w:lineRule="auto"/>
              <w:rPr>
                <w:rFonts w:cs="Arial"/>
                <w:b/>
                <w:color w:val="FFFFFF" w:themeColor="background1"/>
              </w:rPr>
            </w:pPr>
          </w:p>
          <w:p w:rsidR="00824E08" w:rsidRPr="003366DC" w:rsidRDefault="00824E08" w:rsidP="00824E08">
            <w:pPr>
              <w:widowControl w:val="0"/>
              <w:spacing w:after="0" w:line="240" w:lineRule="auto"/>
              <w:rPr>
                <w:rFonts w:cs="Arial"/>
                <w:b/>
                <w:color w:val="FFFFFF" w:themeColor="background1"/>
              </w:rPr>
            </w:pPr>
            <w:r w:rsidRPr="003366DC">
              <w:rPr>
                <w:rFonts w:cs="Arial"/>
                <w:b/>
                <w:color w:val="FFFFFF" w:themeColor="background1"/>
              </w:rPr>
              <w:t>Signature</w:t>
            </w:r>
          </w:p>
          <w:p w:rsidR="00824E08" w:rsidRPr="003366DC" w:rsidRDefault="00824E08" w:rsidP="00824E08">
            <w:pPr>
              <w:widowControl w:val="0"/>
              <w:spacing w:after="0" w:line="240" w:lineRule="auto"/>
              <w:rPr>
                <w:rFonts w:cs="Arial"/>
                <w:b/>
                <w:color w:val="FFFFFF" w:themeColor="background1"/>
              </w:rPr>
            </w:pPr>
          </w:p>
        </w:tc>
        <w:tc>
          <w:tcPr>
            <w:tcW w:w="6011" w:type="dxa"/>
            <w:gridSpan w:val="3"/>
            <w:shd w:val="clear" w:color="auto" w:fill="auto"/>
            <w:vAlign w:val="center"/>
          </w:tcPr>
          <w:p w:rsidR="00824E08" w:rsidRPr="003366DC" w:rsidRDefault="00824E08" w:rsidP="00824E08">
            <w:pPr>
              <w:widowControl w:val="0"/>
              <w:spacing w:after="0" w:line="240" w:lineRule="auto"/>
              <w:rPr>
                <w:rFonts w:eastAsia="Times New Roman" w:cs="Arial"/>
                <w:snapToGrid w:val="0"/>
                <w:color w:val="auto"/>
                <w:szCs w:val="24"/>
                <w:lang w:val="en-US"/>
              </w:rPr>
            </w:pPr>
          </w:p>
        </w:tc>
      </w:tr>
    </w:tbl>
    <w:p w:rsidR="00CD5780" w:rsidRDefault="00CD5780" w:rsidP="00D83D4F">
      <w:pPr>
        <w:spacing w:after="0" w:line="240" w:lineRule="auto"/>
      </w:pPr>
    </w:p>
    <w:sectPr w:rsidR="00CD5780" w:rsidSect="00DE432B">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79" w:rsidRDefault="00D51F79" w:rsidP="00CD5780">
      <w:pPr>
        <w:spacing w:after="0" w:line="240" w:lineRule="auto"/>
      </w:pPr>
      <w:r>
        <w:separator/>
      </w:r>
    </w:p>
  </w:endnote>
  <w:endnote w:type="continuationSeparator" w:id="0">
    <w:p w:rsidR="00D51F79" w:rsidRDefault="00D51F79" w:rsidP="00CD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2B" w:rsidRPr="00431EA1" w:rsidRDefault="00431EA1">
    <w:pPr>
      <w:pStyle w:val="Footer"/>
      <w:rPr>
        <w:sz w:val="18"/>
        <w:szCs w:val="18"/>
      </w:rPr>
    </w:pPr>
    <w:r w:rsidRPr="00431EA1">
      <w:rPr>
        <w:sz w:val="18"/>
        <w:szCs w:val="18"/>
      </w:rPr>
      <w:t>TLC NED Recruitment Pack 2019</w:t>
    </w:r>
  </w:p>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79" w:rsidRDefault="00D51F79" w:rsidP="00CD5780">
      <w:pPr>
        <w:spacing w:after="0" w:line="240" w:lineRule="auto"/>
      </w:pPr>
      <w:r>
        <w:separator/>
      </w:r>
    </w:p>
  </w:footnote>
  <w:footnote w:type="continuationSeparator" w:id="0">
    <w:p w:rsidR="00D51F79" w:rsidRDefault="00D51F79" w:rsidP="00CD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11156"/>
      <w:docPartObj>
        <w:docPartGallery w:val="Page Numbers (Top of Page)"/>
        <w:docPartUnique/>
      </w:docPartObj>
    </w:sdtPr>
    <w:sdtEndPr>
      <w:rPr>
        <w:noProof/>
      </w:rPr>
    </w:sdtEndPr>
    <w:sdtContent>
      <w:p w:rsidR="00DE432B" w:rsidRDefault="00DE432B">
        <w:pPr>
          <w:pStyle w:val="Header"/>
          <w:jc w:val="center"/>
        </w:pPr>
        <w:r>
          <w:fldChar w:fldCharType="begin"/>
        </w:r>
        <w:r>
          <w:instrText xml:space="preserve"> PAGE   \* MERGEFORMAT </w:instrText>
        </w:r>
        <w:r>
          <w:fldChar w:fldCharType="separate"/>
        </w:r>
        <w:r w:rsidR="00C118B2">
          <w:rPr>
            <w:noProof/>
          </w:rPr>
          <w:t>3</w:t>
        </w:r>
        <w:r>
          <w:rPr>
            <w:noProof/>
          </w:rPr>
          <w:fldChar w:fldCharType="end"/>
        </w:r>
      </w:p>
    </w:sdtContent>
  </w:sdt>
  <w:p w:rsidR="00CD5780" w:rsidRDefault="00CD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448CB"/>
    <w:multiLevelType w:val="hybridMultilevel"/>
    <w:tmpl w:val="C5B2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2ACA"/>
    <w:multiLevelType w:val="hybridMultilevel"/>
    <w:tmpl w:val="D11CD9E2"/>
    <w:lvl w:ilvl="0" w:tplc="CA70DE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23C7C"/>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CB40D4"/>
    <w:multiLevelType w:val="hybridMultilevel"/>
    <w:tmpl w:val="5F9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7C3F"/>
    <w:multiLevelType w:val="hybridMultilevel"/>
    <w:tmpl w:val="BCA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35A3B"/>
    <w:multiLevelType w:val="hybridMultilevel"/>
    <w:tmpl w:val="23C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408CB"/>
    <w:multiLevelType w:val="hybridMultilevel"/>
    <w:tmpl w:val="87B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49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C6C1358"/>
    <w:multiLevelType w:val="hybridMultilevel"/>
    <w:tmpl w:val="6FB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075FB"/>
    <w:multiLevelType w:val="hybridMultilevel"/>
    <w:tmpl w:val="147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02382"/>
    <w:multiLevelType w:val="hybridMultilevel"/>
    <w:tmpl w:val="C9C6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5"/>
  </w:num>
  <w:num w:numId="4">
    <w:abstractNumId w:val="0"/>
  </w:num>
  <w:num w:numId="5">
    <w:abstractNumId w:val="5"/>
  </w:num>
  <w:num w:numId="6">
    <w:abstractNumId w:val="7"/>
  </w:num>
  <w:num w:numId="7">
    <w:abstractNumId w:val="10"/>
  </w:num>
  <w:num w:numId="8">
    <w:abstractNumId w:val="3"/>
  </w:num>
  <w:num w:numId="9">
    <w:abstractNumId w:val="12"/>
  </w:num>
  <w:num w:numId="10">
    <w:abstractNumId w:val="8"/>
  </w:num>
  <w:num w:numId="11">
    <w:abstractNumId w:val="2"/>
  </w:num>
  <w:num w:numId="12">
    <w:abstractNumId w:val="1"/>
  </w:num>
  <w:num w:numId="13">
    <w:abstractNumId w:val="9"/>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19"/>
    <w:rsid w:val="0007638C"/>
    <w:rsid w:val="000C2637"/>
    <w:rsid w:val="000D2545"/>
    <w:rsid w:val="000D7B42"/>
    <w:rsid w:val="000E6A12"/>
    <w:rsid w:val="00152150"/>
    <w:rsid w:val="001632EF"/>
    <w:rsid w:val="0017017E"/>
    <w:rsid w:val="002210F0"/>
    <w:rsid w:val="00276985"/>
    <w:rsid w:val="00302375"/>
    <w:rsid w:val="003366DC"/>
    <w:rsid w:val="003367CF"/>
    <w:rsid w:val="003424C3"/>
    <w:rsid w:val="00384E1A"/>
    <w:rsid w:val="00395150"/>
    <w:rsid w:val="003A7726"/>
    <w:rsid w:val="003F2AD5"/>
    <w:rsid w:val="00425B59"/>
    <w:rsid w:val="00431EA1"/>
    <w:rsid w:val="004763E8"/>
    <w:rsid w:val="00535C86"/>
    <w:rsid w:val="006F4C33"/>
    <w:rsid w:val="006F6BE8"/>
    <w:rsid w:val="007C7305"/>
    <w:rsid w:val="007D1525"/>
    <w:rsid w:val="00824E08"/>
    <w:rsid w:val="00832793"/>
    <w:rsid w:val="00863A89"/>
    <w:rsid w:val="008D52A0"/>
    <w:rsid w:val="008F060D"/>
    <w:rsid w:val="009277D8"/>
    <w:rsid w:val="00956AF1"/>
    <w:rsid w:val="0097437E"/>
    <w:rsid w:val="00976232"/>
    <w:rsid w:val="00AA3169"/>
    <w:rsid w:val="00AD46B6"/>
    <w:rsid w:val="00AF4041"/>
    <w:rsid w:val="00B01C84"/>
    <w:rsid w:val="00B31408"/>
    <w:rsid w:val="00B34489"/>
    <w:rsid w:val="00B35E23"/>
    <w:rsid w:val="00BB494A"/>
    <w:rsid w:val="00C118B2"/>
    <w:rsid w:val="00C6264A"/>
    <w:rsid w:val="00C717C2"/>
    <w:rsid w:val="00CC2719"/>
    <w:rsid w:val="00CD5780"/>
    <w:rsid w:val="00CF68D5"/>
    <w:rsid w:val="00D20D58"/>
    <w:rsid w:val="00D51F79"/>
    <w:rsid w:val="00D83D4F"/>
    <w:rsid w:val="00DE432B"/>
    <w:rsid w:val="00E77200"/>
    <w:rsid w:val="00E948B1"/>
    <w:rsid w:val="00EC312B"/>
    <w:rsid w:val="00F03695"/>
    <w:rsid w:val="00F2101B"/>
    <w:rsid w:val="00FB348C"/>
    <w:rsid w:val="00FD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C3E35"/>
  <w15:chartTrackingRefBased/>
  <w15:docId w15:val="{D964836F-99A6-4753-8E1A-18C03E7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CD5780"/>
    <w:pPr>
      <w:spacing w:line="336" w:lineRule="auto"/>
    </w:pPr>
    <w:rPr>
      <w:rFonts w:ascii="Arial" w:hAnsi="Arial"/>
      <w:color w:val="4F575C"/>
    </w:rPr>
  </w:style>
  <w:style w:type="paragraph" w:styleId="Heading1">
    <w:name w:val="heading 1"/>
    <w:aliases w:val="TLC Sub Heading Red"/>
    <w:basedOn w:val="Normal"/>
    <w:next w:val="Normal"/>
    <w:link w:val="Heading1Char"/>
    <w:uiPriority w:val="9"/>
    <w:qFormat/>
    <w:rsid w:val="00CD5780"/>
    <w:pPr>
      <w:keepNext/>
      <w:keepLines/>
      <w:spacing w:before="240" w:after="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after="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uiPriority w:val="9"/>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34"/>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 w:type="paragraph" w:styleId="PlainText">
    <w:name w:val="Plain Text"/>
    <w:basedOn w:val="Normal"/>
    <w:link w:val="PlainTextChar"/>
    <w:rsid w:val="0097437E"/>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97437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358E-4B18-41FF-87AE-8F69480C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Caroline Borrowman</cp:lastModifiedBy>
  <cp:revision>2</cp:revision>
  <dcterms:created xsi:type="dcterms:W3CDTF">2019-11-26T12:55:00Z</dcterms:created>
  <dcterms:modified xsi:type="dcterms:W3CDTF">2019-11-26T12:55:00Z</dcterms:modified>
</cp:coreProperties>
</file>